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4795" w:rsidRDefault="00C34795" w:rsidP="00C34795">
      <w:r>
        <w:t>Ian McCusker</w:t>
      </w:r>
    </w:p>
    <w:p w:rsidR="00C34795" w:rsidRDefault="00C34795" w:rsidP="00C34795">
      <w:pPr>
        <w:jc w:val="center"/>
      </w:pPr>
      <w:r>
        <w:t>Money and Environmentalism</w:t>
      </w:r>
    </w:p>
    <w:p w:rsidR="00BF06E1" w:rsidRDefault="00795228" w:rsidP="00C34795">
      <w:pPr>
        <w:ind w:firstLine="720"/>
      </w:pPr>
      <w:r>
        <w:t>Private</w:t>
      </w:r>
      <w:r w:rsidR="00DF10E5">
        <w:t xml:space="preserve"> interests and</w:t>
      </w:r>
      <w:r w:rsidR="001524B2">
        <w:t xml:space="preserve"> advocates for</w:t>
      </w:r>
      <w:r w:rsidR="00DF10E5">
        <w:t xml:space="preserve"> environmental sustainability are all too often </w:t>
      </w:r>
      <w:r w:rsidR="001524B2">
        <w:t xml:space="preserve">on opposite sides of important issues. The problem with having these two camps opposing each other is that the battle is not even; our governmental system favors parties with money and connections, two things the corporate world is not lacking in. Environmental activists are left trying to rally members of the public with emotional appeals, occasionally scoring large, headlining victories, but losing the side battles that do not easily capture attention. The insidious power of money in politics and society can wreak havoc on public perception, environmental science, and legislative action. </w:t>
      </w:r>
      <w:r w:rsidR="00035DCF">
        <w:t>Corporate</w:t>
      </w:r>
      <w:r>
        <w:t xml:space="preserve"> and private</w:t>
      </w:r>
      <w:r w:rsidR="00035DCF">
        <w:t xml:space="preserve"> interests will not simply go away, yet t</w:t>
      </w:r>
      <w:r w:rsidR="001524B2">
        <w:t xml:space="preserve">his is not a disparity that will resolve itself; the power of money in politics, through lobbying and corporate donations, seems entrenched. Congressmen will occasionally make some noise regarding crack downs on lobbying, but the bills die in the legislative process or loopholes are inevitably found. </w:t>
      </w:r>
      <w:r w:rsidR="00035DCF">
        <w:t>Obviously some other solution must be found.</w:t>
      </w:r>
    </w:p>
    <w:p w:rsidR="00035DCF" w:rsidRDefault="00035DCF" w:rsidP="00035DCF">
      <w:r>
        <w:tab/>
        <w:t>One way in which corporate money can influence political action is by directly funding scientific endeavors. On the surface, funding for scientific research seems benign; more research means more results to reveal the truth. It is not that simple. Corporate funding of research can result in studies that are not wholly sound, or that are intended to misdirect nonscientists into agreeing with the corporate viewpoint. David Lindenmayer of the Australian National University and William Laurance of James Cook University published a study cataloging the problems with logging research.</w:t>
      </w:r>
      <w:r w:rsidR="00CA7700">
        <w:t xml:space="preserve"> </w:t>
      </w:r>
      <w:r w:rsidR="00CA7700">
        <w:rPr>
          <w:vertAlign w:val="superscript"/>
        </w:rPr>
        <w:t>[1]</w:t>
      </w:r>
      <w:r>
        <w:t xml:space="preserve"> They found that many studies of logging impacts on forest ecology and biodiversity were “biased against finding significant negative impacts.” Logging companies have been funding research into the impacts of their activities on </w:t>
      </w:r>
      <w:r w:rsidR="00F86686">
        <w:t>local ecosystems. By looking at time and size scales that were too short, or comparing non analogous forest areas, results were published that had no basis in fact.</w:t>
      </w:r>
    </w:p>
    <w:p w:rsidR="00F86686" w:rsidRPr="00CA7700" w:rsidRDefault="00F86686" w:rsidP="00035DCF">
      <w:pPr>
        <w:rPr>
          <w:vertAlign w:val="superscript"/>
        </w:rPr>
      </w:pPr>
      <w:r>
        <w:tab/>
      </w:r>
      <w:r w:rsidR="00795228">
        <w:t>Corporate and private e</w:t>
      </w:r>
      <w:r>
        <w:t xml:space="preserve">conomic interests can also directly lobby the government. </w:t>
      </w:r>
      <w:r w:rsidR="00795228">
        <w:t xml:space="preserve">A perfect example of this is the problems with corn ethanol use. Sold to the public as a sustainable solution to global warming, it is nothing of the sort. </w:t>
      </w:r>
      <w:r w:rsidR="00795228">
        <w:rPr>
          <w:vertAlign w:val="superscript"/>
        </w:rPr>
        <w:t>[2]</w:t>
      </w:r>
      <w:r w:rsidR="00795228">
        <w:t xml:space="preserve"> Yet its use continues. Using corn ethanol drives up corn prices, in turn driving up the prices of other staples as demand adjusts. This price increase is to the detriment of most American citizens, yet it continues. The few people that it does benefit, corn farmers in the Midwest, have undue political influence due to their concentration of votes and money.</w:t>
      </w:r>
      <w:r w:rsidR="00CA7700">
        <w:t xml:space="preserve"> </w:t>
      </w:r>
      <w:r w:rsidR="00CA7700">
        <w:rPr>
          <w:vertAlign w:val="superscript"/>
        </w:rPr>
        <w:t>[3]</w:t>
      </w:r>
    </w:p>
    <w:p w:rsidR="00F86686" w:rsidRDefault="00F86686" w:rsidP="00795228">
      <w:pPr>
        <w:ind w:firstLine="720"/>
      </w:pPr>
      <w:r>
        <w:t>Fishing companies and individuals have been depleting world fish stocks on a massive scale</w:t>
      </w:r>
      <w:r w:rsidR="00FE191B">
        <w:t>,</w:t>
      </w:r>
      <w:r w:rsidR="00FE191B">
        <w:rPr>
          <w:vertAlign w:val="superscript"/>
        </w:rPr>
        <w:t>[4]</w:t>
      </w:r>
      <w:r>
        <w:t xml:space="preserve"> yet the government is slow to limit their activities. Local economies that are dependent on the unsustainable fishing activities use their clout to prevent action. Their short term economic interests outweigh the long term impacts of their activities. Unless some way can be found to quantify the damage being done, the emotional appeals of environmental activists will fall upon deaf ears.</w:t>
      </w:r>
    </w:p>
    <w:p w:rsidR="001046D5" w:rsidRDefault="00795228" w:rsidP="00CA7700">
      <w:pPr>
        <w:ind w:firstLine="720"/>
      </w:pPr>
      <w:r>
        <w:t xml:space="preserve">The solution to this is an assessment of the environmental impacts of these actions, and the application of a price to them. Such prices are called Pigouvian Taxes, forcing markets to pay for the negative impacts their actions are having. </w:t>
      </w:r>
      <w:r w:rsidR="006665A4">
        <w:t>Unless this is done</w:t>
      </w:r>
      <w:r w:rsidR="004A4CD3">
        <w:t xml:space="preserve">, corporations will have more money than environmental groups, resulting in an imbalance of lobbying ability, and thus impact. </w:t>
      </w:r>
      <w:r w:rsidR="004A4CD3">
        <w:rPr>
          <w:vertAlign w:val="superscript"/>
        </w:rPr>
        <w:t>[5</w:t>
      </w:r>
      <w:r w:rsidR="00FE191B">
        <w:rPr>
          <w:vertAlign w:val="superscript"/>
        </w:rPr>
        <w:t>]</w:t>
      </w:r>
    </w:p>
    <w:p w:rsidR="00CA7700" w:rsidRDefault="00CA7700" w:rsidP="00CA7700">
      <w:r>
        <w:lastRenderedPageBreak/>
        <w:t>Bibliography</w:t>
      </w:r>
    </w:p>
    <w:p w:rsidR="0016660E" w:rsidRDefault="00CA7700" w:rsidP="0016660E">
      <w:pPr>
        <w:pStyle w:val="ListParagraph"/>
        <w:numPr>
          <w:ilvl w:val="0"/>
          <w:numId w:val="3"/>
        </w:numPr>
      </w:pPr>
      <w:r w:rsidRPr="00CA7700">
        <w:t>David B. Lindenmayer, William F. Laurance, A history of hubris – Cautionary lessons in ecologically sustainable forest management, Biological Conservation, Volume 151, Issue 1, July 2012, Pages 11-16, ISSN 0006-3207, 10.1016/j.biocon.2011.10.032.</w:t>
      </w:r>
      <w:r>
        <w:t xml:space="preserve"> </w:t>
      </w:r>
      <w:r w:rsidRPr="00CA7700">
        <w:t>http://www.sciencedirect.com.libproxy.rpi.edu/science/article/pii/S0006320711004472</w:t>
      </w:r>
    </w:p>
    <w:p w:rsidR="00CA7700" w:rsidRPr="0016660E" w:rsidRDefault="0016660E" w:rsidP="0016660E">
      <w:pPr>
        <w:pStyle w:val="ListParagraph"/>
        <w:numPr>
          <w:ilvl w:val="0"/>
          <w:numId w:val="3"/>
        </w:numPr>
        <w:autoSpaceDE w:val="0"/>
        <w:autoSpaceDN w:val="0"/>
        <w:adjustRightInd w:val="0"/>
        <w:spacing w:after="0" w:line="240" w:lineRule="auto"/>
      </w:pPr>
      <w:r w:rsidRPr="0016660E">
        <w:rPr>
          <w:rFonts w:ascii="inherit" w:eastAsia="Times New Roman" w:hAnsi="inherit" w:cs="Times New Roman"/>
          <w:sz w:val="24"/>
          <w:szCs w:val="24"/>
          <w:bdr w:val="none" w:sz="0" w:space="0" w:color="auto" w:frame="1"/>
        </w:rPr>
        <w:t xml:space="preserve">Timothy Searchinger et al, </w:t>
      </w:r>
      <w:r w:rsidRPr="0016660E">
        <w:t>Use of U.S. Croplands for Biofuels Increases Greenhouse Gases Through Emissions from Land-Use Change, Science 29 February 2008: 319 (5867), 1238-1240.Published online 7 February 2008</w:t>
      </w:r>
      <w:r>
        <w:t xml:space="preserve"> </w:t>
      </w:r>
      <w:r w:rsidRPr="0016660E">
        <w:t>http://www.sciencemag.org.libproxy.rpi.edu/content/319/5867/1238.full.pdf</w:t>
      </w:r>
    </w:p>
    <w:p w:rsidR="00CA7700" w:rsidRDefault="00CA7700" w:rsidP="0016660E">
      <w:pPr>
        <w:pStyle w:val="ListParagraph"/>
        <w:numPr>
          <w:ilvl w:val="0"/>
          <w:numId w:val="3"/>
        </w:numPr>
      </w:pPr>
      <w:r>
        <w:t xml:space="preserve">Robert Bryce, </w:t>
      </w:r>
      <w:r w:rsidRPr="00CA7700">
        <w:t>Democrats and Republicans Support Harmful Ethanol Subsidies for the Sake of Votes</w:t>
      </w:r>
      <w:r>
        <w:t xml:space="preserve">, The Daily Beast, September 5, 2012 </w:t>
      </w:r>
      <w:r w:rsidRPr="00CA7700">
        <w:t>http://www.thedailybeast.com/articles/2012/09/05/democrats-and-republicans-support-harmful-ethanol-subsidies-for-the-sake-of-votes.html</w:t>
      </w:r>
    </w:p>
    <w:p w:rsidR="00CA7700" w:rsidRPr="00CA7700" w:rsidRDefault="00CA7700" w:rsidP="0016660E">
      <w:pPr>
        <w:pStyle w:val="ListParagraph"/>
        <w:numPr>
          <w:ilvl w:val="0"/>
          <w:numId w:val="3"/>
        </w:numPr>
      </w:pPr>
      <w:r w:rsidRPr="00CA7700">
        <w:rPr>
          <w:shd w:val="clear" w:color="auto" w:fill="FFFFFF"/>
        </w:rPr>
        <w:t>Pauly, D., Christensen, V., Guenette, S., Pitcher, T. J., &amp; al, e. (2002). Towards sustainability in world fisheries.</w:t>
      </w:r>
      <w:r w:rsidRPr="00CA7700">
        <w:rPr>
          <w:rStyle w:val="apple-converted-space"/>
          <w:rFonts w:ascii="Verdana" w:hAnsi="Verdana"/>
          <w:i/>
          <w:iCs/>
          <w:color w:val="4C4C4C"/>
          <w:sz w:val="18"/>
          <w:szCs w:val="18"/>
          <w:shd w:val="clear" w:color="auto" w:fill="FFFFFF"/>
        </w:rPr>
        <w:t> </w:t>
      </w:r>
      <w:r w:rsidRPr="00CA7700">
        <w:rPr>
          <w:i/>
          <w:iCs/>
          <w:shd w:val="clear" w:color="auto" w:fill="FFFFFF"/>
        </w:rPr>
        <w:t>Nature,418</w:t>
      </w:r>
      <w:r w:rsidRPr="00CA7700">
        <w:rPr>
          <w:shd w:val="clear" w:color="auto" w:fill="FFFFFF"/>
        </w:rPr>
        <w:t>(6898), 689-95. doi: http://dx.doi.org/10.1038/nature01017</w:t>
      </w:r>
      <w:r>
        <w:rPr>
          <w:shd w:val="clear" w:color="auto" w:fill="FFFFFF"/>
        </w:rPr>
        <w:t xml:space="preserve"> </w:t>
      </w:r>
      <w:r w:rsidRPr="00CA7700">
        <w:rPr>
          <w:shd w:val="clear" w:color="auto" w:fill="FFFFFF"/>
        </w:rPr>
        <w:t>http://search.proquest.com.libproxy.rpi.edu/docview/204498409/fulltextPDF/13A3C47C844214C297D/1?accountid=28525</w:t>
      </w:r>
    </w:p>
    <w:p w:rsidR="001046D5" w:rsidRDefault="00CA7700" w:rsidP="0016660E">
      <w:pPr>
        <w:pStyle w:val="ListParagraph"/>
        <w:numPr>
          <w:ilvl w:val="0"/>
          <w:numId w:val="3"/>
        </w:numPr>
      </w:pPr>
      <w:r>
        <w:t>Toke S. Aidt, Political internalization of economic externalities and environmental policy, Journal of Public Economics, Volume 69, Issue 1, 1 July 1998, Pages 1-16, ISSN 0047-2727, 10.1016/S0047-2727(98)00006-1.</w:t>
      </w:r>
      <w:r>
        <w:t xml:space="preserve"> </w:t>
      </w:r>
      <w:r w:rsidR="004902AA" w:rsidRPr="004902AA">
        <w:t>http://www.sciencedirect.com.libproxy.rpi.edu/science/article/pii/S0047272798000061</w:t>
      </w:r>
    </w:p>
    <w:p w:rsidR="00CA7700" w:rsidRPr="00CA7700" w:rsidRDefault="001046D5" w:rsidP="001046D5">
      <w:r>
        <w:br w:type="page"/>
      </w:r>
    </w:p>
    <w:p w:rsidR="00CA7700" w:rsidRDefault="001046D5" w:rsidP="00CA7700">
      <w:r>
        <w:lastRenderedPageBreak/>
        <w:t>Annotations</w:t>
      </w:r>
    </w:p>
    <w:p w:rsidR="001046D5" w:rsidRDefault="0093206E" w:rsidP="0093206E">
      <w:pPr>
        <w:pStyle w:val="ListParagraph"/>
        <w:numPr>
          <w:ilvl w:val="0"/>
          <w:numId w:val="6"/>
        </w:numPr>
      </w:pPr>
      <w:r w:rsidRPr="00CA7700">
        <w:t>David B. Lindenmayer, William F. Laurance, A history of hubris – Cautionary lessons in ecologically sustainable forest management, Biological Conservation, Volume 151, Issue 1, July 2012, Pages 11-16, ISSN 0006-3207, 10.1016/j.biocon.2011.10.032.</w:t>
      </w:r>
      <w:r>
        <w:t xml:space="preserve"> </w:t>
      </w:r>
      <w:r w:rsidRPr="00CA7700">
        <w:t>http://www.sciencedirect.com.libproxy.rpi.edu/science/article/pii/S0006320711004472</w:t>
      </w:r>
    </w:p>
    <w:p w:rsidR="0093206E" w:rsidRDefault="0093206E" w:rsidP="0093206E">
      <w:pPr>
        <w:pStyle w:val="ListParagraph"/>
        <w:numPr>
          <w:ilvl w:val="0"/>
          <w:numId w:val="6"/>
        </w:numPr>
      </w:pPr>
      <w:r>
        <w:t>David Lindenmayer works at The Australian National University as a professor in the Fenner School of Environment and Society. He has written extensively on the sustainability of economic actions on the environment, and the interactions of humans and biodiversity.</w:t>
      </w:r>
    </w:p>
    <w:p w:rsidR="0093206E" w:rsidRDefault="0093206E" w:rsidP="0093206E">
      <w:pPr>
        <w:pStyle w:val="ListParagraph"/>
        <w:numPr>
          <w:ilvl w:val="0"/>
          <w:numId w:val="6"/>
        </w:numPr>
      </w:pPr>
      <w:r>
        <w:t>The text argues that the main body of research on the impacts of logging is unreliable, as the studies were done with parameters designed to elicit the desired results.</w:t>
      </w:r>
    </w:p>
    <w:p w:rsidR="0093206E" w:rsidRDefault="0093206E" w:rsidP="0093206E">
      <w:pPr>
        <w:pStyle w:val="ListParagraph"/>
        <w:numPr>
          <w:ilvl w:val="0"/>
          <w:numId w:val="6"/>
        </w:numPr>
      </w:pPr>
      <w:r>
        <w:t xml:space="preserve">The authors argue that many studies are fatally flawed. One flaw is in comparing adjacent logged and unlogged areas to assess biodiversity. As the richest sites are logged, while the unlogged sections are often hill and mountain slopes, the loss of biodiversity is masked. Another flaw is the lack of long timescale studies, as trees live for many years. Rather than assess site history to gauge timescale factors, many studies use large sample areas. This is not wholly effective. A third flaw is the lack of </w:t>
      </w:r>
      <w:r w:rsidR="00FE191B">
        <w:t>long timescale and large area studies. Cumulative effects can be missed, especially when forests are logged several times.</w:t>
      </w:r>
    </w:p>
    <w:p w:rsidR="00FE191B" w:rsidRPr="00FE191B" w:rsidRDefault="00FE191B" w:rsidP="0093206E">
      <w:pPr>
        <w:pStyle w:val="ListParagraph"/>
        <w:numPr>
          <w:ilvl w:val="0"/>
          <w:numId w:val="6"/>
        </w:numPr>
      </w:pPr>
      <w:r>
        <w:t>“</w:t>
      </w:r>
      <w:r>
        <w:rPr>
          <w:rStyle w:val="apple-converted-space"/>
          <w:rFonts w:ascii="Arial Unicode MS" w:eastAsia="Arial Unicode MS" w:hAnsi="Arial Unicode MS" w:cs="Arial Unicode MS" w:hint="eastAsia"/>
          <w:color w:val="2E2E2E"/>
          <w:sz w:val="20"/>
          <w:szCs w:val="20"/>
          <w:shd w:val="clear" w:color="auto" w:fill="FFFFFF"/>
        </w:rPr>
        <w:t> </w:t>
      </w:r>
      <w:r>
        <w:rPr>
          <w:rFonts w:ascii="Arial Unicode MS" w:eastAsia="Arial Unicode MS" w:hAnsi="Arial Unicode MS" w:cs="Arial Unicode MS" w:hint="eastAsia"/>
          <w:color w:val="2E2E2E"/>
          <w:sz w:val="20"/>
          <w:szCs w:val="20"/>
          <w:shd w:val="clear" w:color="auto" w:fill="FFFFFF"/>
        </w:rPr>
        <w:t>there is far more to ecologically sustainable forest management than, for example, simplistic statements of the percentage of a given natural forest area that is logged in any given year.</w:t>
      </w:r>
      <w:r>
        <w:rPr>
          <w:rFonts w:ascii="Arial Unicode MS" w:eastAsia="Arial Unicode MS" w:hAnsi="Arial Unicode MS" w:cs="Arial Unicode MS"/>
          <w:color w:val="2E2E2E"/>
          <w:sz w:val="20"/>
          <w:szCs w:val="20"/>
          <w:shd w:val="clear" w:color="auto" w:fill="FFFFFF"/>
        </w:rPr>
        <w:t>”</w:t>
      </w:r>
    </w:p>
    <w:p w:rsidR="00FE191B" w:rsidRDefault="00FE191B" w:rsidP="00FE191B">
      <w:pPr>
        <w:pStyle w:val="ListParagraph"/>
        <w:rPr>
          <w:rFonts w:ascii="Arial Unicode MS" w:eastAsia="Arial Unicode MS" w:hAnsi="Arial Unicode MS" w:cs="Arial Unicode MS"/>
          <w:color w:val="2E2E2E"/>
          <w:sz w:val="20"/>
          <w:szCs w:val="20"/>
          <w:shd w:val="clear" w:color="auto" w:fill="FFFFFF"/>
        </w:rPr>
      </w:pPr>
      <w:r>
        <w:rPr>
          <w:rFonts w:ascii="Arial Unicode MS" w:eastAsia="Arial Unicode MS" w:hAnsi="Arial Unicode MS" w:cs="Arial Unicode MS"/>
          <w:color w:val="2E2E2E"/>
          <w:sz w:val="20"/>
          <w:szCs w:val="20"/>
          <w:shd w:val="clear" w:color="auto" w:fill="FFFFFF"/>
        </w:rPr>
        <w:t>“</w:t>
      </w:r>
      <w:r>
        <w:rPr>
          <w:rFonts w:ascii="Arial Unicode MS" w:eastAsia="Arial Unicode MS" w:hAnsi="Arial Unicode MS" w:cs="Arial Unicode MS" w:hint="eastAsia"/>
          <w:color w:val="2E2E2E"/>
          <w:sz w:val="20"/>
          <w:szCs w:val="20"/>
          <w:shd w:val="clear" w:color="auto" w:fill="FFFFFF"/>
        </w:rPr>
        <w:t>Several studies have shown that unlogged “primary” forests have higher biodiversity values than do logged or regenerating forests (e.g.</w:t>
      </w:r>
      <w:r>
        <w:rPr>
          <w:rStyle w:val="apple-converted-space"/>
          <w:rFonts w:ascii="Arial Unicode MS" w:eastAsia="Arial Unicode MS" w:hAnsi="Arial Unicode MS" w:cs="Arial Unicode MS" w:hint="eastAsia"/>
          <w:color w:val="2E2E2E"/>
          <w:sz w:val="20"/>
          <w:szCs w:val="20"/>
          <w:shd w:val="clear" w:color="auto" w:fill="FFFFFF"/>
        </w:rPr>
        <w:t> </w:t>
      </w:r>
      <w:hyperlink r:id="rId6" w:anchor="b0440" w:history="1">
        <w:r>
          <w:rPr>
            <w:rStyle w:val="Hyperlink"/>
            <w:rFonts w:ascii="Arial Unicode MS" w:eastAsia="Arial Unicode MS" w:hAnsi="Arial Unicode MS" w:cs="Arial Unicode MS" w:hint="eastAsia"/>
            <w:color w:val="316C9D"/>
            <w:sz w:val="20"/>
            <w:szCs w:val="20"/>
            <w:bdr w:val="none" w:sz="0" w:space="0" w:color="auto" w:frame="1"/>
            <w:shd w:val="clear" w:color="auto" w:fill="FFFFFF"/>
          </w:rPr>
          <w:t>Gardner et al., 2009</w:t>
        </w:r>
      </w:hyperlink>
      <w:r>
        <w:rPr>
          <w:rFonts w:ascii="Arial Unicode MS" w:eastAsia="Arial Unicode MS" w:hAnsi="Arial Unicode MS" w:cs="Arial Unicode MS" w:hint="eastAsia"/>
          <w:color w:val="2E2E2E"/>
          <w:sz w:val="20"/>
          <w:szCs w:val="20"/>
          <w:shd w:val="clear" w:color="auto" w:fill="FFFFFF"/>
        </w:rPr>
        <w:t> and </w:t>
      </w:r>
      <w:hyperlink r:id="rId7" w:anchor="b0110" w:history="1">
        <w:r>
          <w:rPr>
            <w:rStyle w:val="Hyperlink"/>
            <w:rFonts w:ascii="Arial Unicode MS" w:eastAsia="Arial Unicode MS" w:hAnsi="Arial Unicode MS" w:cs="Arial Unicode MS" w:hint="eastAsia"/>
            <w:color w:val="316C9D"/>
            <w:sz w:val="20"/>
            <w:szCs w:val="20"/>
            <w:bdr w:val="none" w:sz="0" w:space="0" w:color="auto" w:frame="1"/>
            <w:shd w:val="clear" w:color="auto" w:fill="FFFFFF"/>
          </w:rPr>
          <w:t>Gibson et al., 2011</w:t>
        </w:r>
      </w:hyperlink>
      <w:r>
        <w:rPr>
          <w:rFonts w:ascii="Arial Unicode MS" w:eastAsia="Arial Unicode MS" w:hAnsi="Arial Unicode MS" w:cs="Arial Unicode MS" w:hint="eastAsia"/>
          <w:color w:val="2E2E2E"/>
          <w:sz w:val="20"/>
          <w:szCs w:val="20"/>
          <w:shd w:val="clear" w:color="auto" w:fill="FFFFFF"/>
        </w:rPr>
        <w:t>) and that some species can be eliminated or extremely rare in forests that are logged (</w:t>
      </w:r>
      <w:hyperlink r:id="rId8" w:anchor="b0215" w:history="1">
        <w:r>
          <w:rPr>
            <w:rStyle w:val="Hyperlink"/>
            <w:rFonts w:ascii="Arial Unicode MS" w:eastAsia="Arial Unicode MS" w:hAnsi="Arial Unicode MS" w:cs="Arial Unicode MS" w:hint="eastAsia"/>
            <w:color w:val="316C9D"/>
            <w:sz w:val="20"/>
            <w:szCs w:val="20"/>
            <w:bdr w:val="none" w:sz="0" w:space="0" w:color="auto" w:frame="1"/>
            <w:shd w:val="clear" w:color="auto" w:fill="FFFFFF"/>
          </w:rPr>
          <w:t>Laurance and Laurance, 1996</w:t>
        </w:r>
      </w:hyperlink>
      <w:r>
        <w:rPr>
          <w:rFonts w:ascii="Arial Unicode MS" w:eastAsia="Arial Unicode MS" w:hAnsi="Arial Unicode MS" w:cs="Arial Unicode MS" w:hint="eastAsia"/>
          <w:color w:val="2E2E2E"/>
          <w:sz w:val="20"/>
          <w:szCs w:val="20"/>
          <w:shd w:val="clear" w:color="auto" w:fill="FFFFFF"/>
        </w:rPr>
        <w:t>,</w:t>
      </w:r>
      <w:r>
        <w:rPr>
          <w:rStyle w:val="apple-converted-space"/>
          <w:rFonts w:ascii="Arial Unicode MS" w:eastAsia="Arial Unicode MS" w:hAnsi="Arial Unicode MS" w:cs="Arial Unicode MS" w:hint="eastAsia"/>
          <w:color w:val="2E2E2E"/>
          <w:sz w:val="20"/>
          <w:szCs w:val="20"/>
          <w:shd w:val="clear" w:color="auto" w:fill="FFFFFF"/>
        </w:rPr>
        <w:t> </w:t>
      </w:r>
      <w:hyperlink r:id="rId9" w:anchor="b0250" w:history="1">
        <w:r>
          <w:rPr>
            <w:rStyle w:val="Hyperlink"/>
            <w:rFonts w:ascii="Arial Unicode MS" w:eastAsia="Arial Unicode MS" w:hAnsi="Arial Unicode MS" w:cs="Arial Unicode MS" w:hint="eastAsia"/>
            <w:color w:val="316C9D"/>
            <w:sz w:val="20"/>
            <w:szCs w:val="20"/>
            <w:bdr w:val="none" w:sz="0" w:space="0" w:color="auto" w:frame="1"/>
            <w:shd w:val="clear" w:color="auto" w:fill="FFFFFF"/>
          </w:rPr>
          <w:t>Lindenmayer et al., 1999</w:t>
        </w:r>
      </w:hyperlink>
      <w:r>
        <w:rPr>
          <w:rFonts w:ascii="Arial Unicode MS" w:eastAsia="Arial Unicode MS" w:hAnsi="Arial Unicode MS" w:cs="Arial Unicode MS" w:hint="eastAsia"/>
          <w:color w:val="2E2E2E"/>
          <w:sz w:val="20"/>
          <w:szCs w:val="20"/>
          <w:shd w:val="clear" w:color="auto" w:fill="FFFFFF"/>
        </w:rPr>
        <w:t> and </w:t>
      </w:r>
      <w:hyperlink r:id="rId10" w:anchor="b0310" w:history="1">
        <w:r>
          <w:rPr>
            <w:rStyle w:val="Hyperlink"/>
            <w:rFonts w:ascii="Arial Unicode MS" w:eastAsia="Arial Unicode MS" w:hAnsi="Arial Unicode MS" w:cs="Arial Unicode MS" w:hint="eastAsia"/>
            <w:color w:val="316C9D"/>
            <w:sz w:val="20"/>
            <w:szCs w:val="20"/>
            <w:bdr w:val="none" w:sz="0" w:space="0" w:color="auto" w:frame="1"/>
            <w:shd w:val="clear" w:color="auto" w:fill="FFFFFF"/>
          </w:rPr>
          <w:t>Peres, 2005</w:t>
        </w:r>
      </w:hyperlink>
      <w:r>
        <w:rPr>
          <w:rFonts w:ascii="Arial Unicode MS" w:eastAsia="Arial Unicode MS" w:hAnsi="Arial Unicode MS" w:cs="Arial Unicode MS" w:hint="eastAsia"/>
          <w:color w:val="2E2E2E"/>
          <w:sz w:val="20"/>
          <w:szCs w:val="20"/>
          <w:shd w:val="clear" w:color="auto" w:fill="FFFFFF"/>
        </w:rPr>
        <w:t>).</w:t>
      </w:r>
      <w:r>
        <w:rPr>
          <w:rFonts w:ascii="Arial Unicode MS" w:eastAsia="Arial Unicode MS" w:hAnsi="Arial Unicode MS" w:cs="Arial Unicode MS"/>
          <w:color w:val="2E2E2E"/>
          <w:sz w:val="20"/>
          <w:szCs w:val="20"/>
          <w:shd w:val="clear" w:color="auto" w:fill="FFFFFF"/>
        </w:rPr>
        <w:t>”</w:t>
      </w:r>
    </w:p>
    <w:p w:rsidR="00FE191B" w:rsidRDefault="00FE191B" w:rsidP="00FE191B">
      <w:pPr>
        <w:pStyle w:val="ListParagraph"/>
        <w:rPr>
          <w:rFonts w:ascii="Arial Unicode MS" w:eastAsia="Arial Unicode MS" w:hAnsi="Arial Unicode MS" w:cs="Arial Unicode MS"/>
          <w:color w:val="2E2E2E"/>
          <w:sz w:val="20"/>
          <w:szCs w:val="20"/>
          <w:shd w:val="clear" w:color="auto" w:fill="FFFFFF"/>
        </w:rPr>
      </w:pPr>
      <w:r>
        <w:rPr>
          <w:rFonts w:ascii="Arial Unicode MS" w:eastAsia="Arial Unicode MS" w:hAnsi="Arial Unicode MS" w:cs="Arial Unicode MS"/>
          <w:color w:val="2E2E2E"/>
          <w:sz w:val="20"/>
          <w:szCs w:val="20"/>
          <w:shd w:val="clear" w:color="auto" w:fill="FFFFFF"/>
        </w:rPr>
        <w:t>“</w:t>
      </w:r>
      <w:r>
        <w:rPr>
          <w:rFonts w:ascii="Arial Unicode MS" w:eastAsia="Arial Unicode MS" w:hAnsi="Arial Unicode MS" w:cs="Arial Unicode MS" w:hint="eastAsia"/>
          <w:color w:val="2E2E2E"/>
          <w:sz w:val="20"/>
          <w:szCs w:val="20"/>
          <w:shd w:val="clear" w:color="auto" w:fill="FFFFFF"/>
        </w:rPr>
        <w:t>aspects of these recurring arguments are either flawed or often misunderstood, meaning that forest managers and decision-makers should be cautious when weighing the arguments of pro-logging lobbies or interpreting logging-impact research.</w:t>
      </w:r>
      <w:r>
        <w:rPr>
          <w:rFonts w:ascii="Arial Unicode MS" w:eastAsia="Arial Unicode MS" w:hAnsi="Arial Unicode MS" w:cs="Arial Unicode MS"/>
          <w:color w:val="2E2E2E"/>
          <w:sz w:val="20"/>
          <w:szCs w:val="20"/>
          <w:shd w:val="clear" w:color="auto" w:fill="FFFFFF"/>
        </w:rPr>
        <w:t>”</w:t>
      </w:r>
    </w:p>
    <w:p w:rsidR="00FE191B" w:rsidRDefault="00FE191B" w:rsidP="00FE191B">
      <w:pPr>
        <w:pStyle w:val="ListParagraph"/>
        <w:numPr>
          <w:ilvl w:val="0"/>
          <w:numId w:val="6"/>
        </w:numPr>
      </w:pPr>
      <w:r>
        <w:t>The article highlights the flaws of using research funded by corporate interests. While some studies cannot fully gauge all factors and impacts, it its wholly different to use only factors that will give the desired results.</w:t>
      </w:r>
    </w:p>
    <w:p w:rsidR="00FE191B" w:rsidRDefault="00FE191B">
      <w:r>
        <w:br w:type="page"/>
      </w:r>
    </w:p>
    <w:p w:rsidR="00FE191B" w:rsidRDefault="0016660E" w:rsidP="0016660E">
      <w:pPr>
        <w:pStyle w:val="ListParagraph"/>
        <w:numPr>
          <w:ilvl w:val="0"/>
          <w:numId w:val="10"/>
        </w:numPr>
        <w:autoSpaceDE w:val="0"/>
        <w:autoSpaceDN w:val="0"/>
        <w:adjustRightInd w:val="0"/>
        <w:spacing w:after="0" w:line="240" w:lineRule="auto"/>
      </w:pPr>
      <w:r w:rsidRPr="0016660E">
        <w:rPr>
          <w:rFonts w:ascii="inherit" w:eastAsia="Times New Roman" w:hAnsi="inherit" w:cs="Times New Roman"/>
          <w:sz w:val="24"/>
          <w:szCs w:val="24"/>
          <w:bdr w:val="none" w:sz="0" w:space="0" w:color="auto" w:frame="1"/>
        </w:rPr>
        <w:lastRenderedPageBreak/>
        <w:t xml:space="preserve">Timothy Searchinger et al, </w:t>
      </w:r>
      <w:r w:rsidRPr="0016660E">
        <w:t>Use of U.S. Croplands for Biofuels Increases Greenhouse Gases Through Emissions from Land-Use Change, Science 29 February 2008: 319 (5867), 1238-1240.Published online 7 February 2008</w:t>
      </w:r>
      <w:r>
        <w:t xml:space="preserve"> </w:t>
      </w:r>
      <w:r w:rsidRPr="0016660E">
        <w:t>http://www.sciencemag.org.libproxy.rpi.edu/content/319/5867/1238.full.pdf</w:t>
      </w:r>
    </w:p>
    <w:p w:rsidR="0016660E" w:rsidRDefault="0016660E" w:rsidP="0016660E">
      <w:pPr>
        <w:pStyle w:val="ListParagraph"/>
        <w:numPr>
          <w:ilvl w:val="0"/>
          <w:numId w:val="10"/>
        </w:numPr>
        <w:autoSpaceDE w:val="0"/>
        <w:autoSpaceDN w:val="0"/>
        <w:adjustRightInd w:val="0"/>
        <w:spacing w:after="0" w:line="240" w:lineRule="auto"/>
      </w:pPr>
      <w:r>
        <w:t>Timothy Searchinger is a research fellow at Princeton University’s Woodrow Wilson School of Public and International Affairs. He worked for the Environmental Defense Fund for 17 years, and works primarily on environmental issues related to agriculture. He has written several papers on the relationship between greenhouse gas emissions and biofuel use.</w:t>
      </w:r>
    </w:p>
    <w:p w:rsidR="0016660E" w:rsidRDefault="0016660E" w:rsidP="0016660E">
      <w:pPr>
        <w:pStyle w:val="ListParagraph"/>
        <w:numPr>
          <w:ilvl w:val="0"/>
          <w:numId w:val="10"/>
        </w:numPr>
        <w:autoSpaceDE w:val="0"/>
        <w:autoSpaceDN w:val="0"/>
        <w:adjustRightInd w:val="0"/>
        <w:spacing w:after="0" w:line="240" w:lineRule="auto"/>
      </w:pPr>
      <w:r>
        <w:t>The text argues that the use of corn biofuels creates a net increase in greenhouse gasses due to the necessity of bringing more land under cultivation. This increase is gradually offset by biofuel use, but the inefficiency of biofuel conversion means the offset takes 167 years to reach parity with gasoline use.</w:t>
      </w:r>
    </w:p>
    <w:p w:rsidR="0016660E" w:rsidRDefault="000248F9" w:rsidP="0016660E">
      <w:pPr>
        <w:pStyle w:val="ListParagraph"/>
        <w:numPr>
          <w:ilvl w:val="0"/>
          <w:numId w:val="10"/>
        </w:numPr>
        <w:autoSpaceDE w:val="0"/>
        <w:autoSpaceDN w:val="0"/>
        <w:adjustRightInd w:val="0"/>
        <w:spacing w:after="0" w:line="240" w:lineRule="auto"/>
      </w:pPr>
      <w:r>
        <w:t>Most studies of carbon emissions and biofuel use fail to account for land use change. Untilled soil stores large amounts of carbon, and the cultivation of this land means that most of the stored carbon is released. Even if yields are dramatically increased, rendering currently cultivated land redundant, using this extra land would have a net positive impact on carbon emissions, as leaving it fallow and allowing reversion to a natural state would allow large amounts of carbon to be sequestered. He also concludes that switchgrass bioufels are net carbon emitters, although less so. This is countered by the increased cost of switchgrass conversion vs corn ethanol.</w:t>
      </w:r>
    </w:p>
    <w:p w:rsidR="000248F9" w:rsidRDefault="000248F9" w:rsidP="0016660E">
      <w:pPr>
        <w:pStyle w:val="ListParagraph"/>
        <w:numPr>
          <w:ilvl w:val="0"/>
          <w:numId w:val="10"/>
        </w:numPr>
        <w:autoSpaceDE w:val="0"/>
        <w:autoSpaceDN w:val="0"/>
        <w:adjustRightInd w:val="0"/>
        <w:spacing w:after="0" w:line="240" w:lineRule="auto"/>
      </w:pPr>
      <w:r>
        <w:t>“We found that corn-based ethanol, instead of producing a 20% savings, nearly doubles greenhouse emissions over 30 years and increases greenhouse gasses for 167 years.”</w:t>
      </w:r>
    </w:p>
    <w:p w:rsidR="000248F9" w:rsidRDefault="000248F9" w:rsidP="000248F9">
      <w:pPr>
        <w:pStyle w:val="ListParagraph"/>
        <w:autoSpaceDE w:val="0"/>
        <w:autoSpaceDN w:val="0"/>
        <w:adjustRightInd w:val="0"/>
        <w:spacing w:after="0" w:line="240" w:lineRule="auto"/>
      </w:pPr>
      <w:r>
        <w:t>“Use of those [excess] lands instead for biofuels sacrifices this carbon benefit, which could exceed the carbon saved by using the same land for biofuels (24).”</w:t>
      </w:r>
    </w:p>
    <w:p w:rsidR="00EA16F6" w:rsidRDefault="00EA16F6" w:rsidP="000248F9">
      <w:pPr>
        <w:pStyle w:val="ListParagraph"/>
        <w:autoSpaceDE w:val="0"/>
        <w:autoSpaceDN w:val="0"/>
        <w:adjustRightInd w:val="0"/>
        <w:spacing w:after="0" w:line="240" w:lineRule="auto"/>
      </w:pPr>
      <w:r>
        <w:t>“We found that, even if corn ethanol caused no emissions except those from land use change, overall GHGs would still increase over a 30 year period”</w:t>
      </w:r>
    </w:p>
    <w:p w:rsidR="000248F9" w:rsidRDefault="00EA16F6" w:rsidP="00EA16F6">
      <w:pPr>
        <w:pStyle w:val="ListParagraph"/>
        <w:numPr>
          <w:ilvl w:val="0"/>
          <w:numId w:val="10"/>
        </w:numPr>
        <w:autoSpaceDE w:val="0"/>
        <w:autoSpaceDN w:val="0"/>
        <w:adjustRightInd w:val="0"/>
        <w:spacing w:after="0" w:line="240" w:lineRule="auto"/>
      </w:pPr>
      <w:r>
        <w:t>Despite the findings of research like this, corn ethanol is still being represented as an alternative to gasoline in the fight against global warming. This is due to the outsized influence of the farming lobby, and its desire for higher corn and food prices.</w:t>
      </w:r>
    </w:p>
    <w:p w:rsidR="00EA16F6" w:rsidRDefault="00EA16F6">
      <w:r>
        <w:br w:type="page"/>
      </w:r>
    </w:p>
    <w:p w:rsidR="00EA16F6" w:rsidRDefault="00EA16F6" w:rsidP="00EA16F6">
      <w:pPr>
        <w:pStyle w:val="ListParagraph"/>
        <w:numPr>
          <w:ilvl w:val="0"/>
          <w:numId w:val="12"/>
        </w:numPr>
      </w:pPr>
      <w:r>
        <w:lastRenderedPageBreak/>
        <w:t xml:space="preserve">Toke S. Aidt, Political internalization of economic externalities and environmental policy, Journal of Public Economics, Volume 69, Issue 1, 1 July 1998, Pages 1-16, ISSN 0047-2727, 10.1016/S0047-2727(98)00006-1. </w:t>
      </w:r>
      <w:r w:rsidRPr="004902AA">
        <w:t>http://www.sciencedirect.com.libproxy.rpi.edu/science/article/pii/S0047272798000061</w:t>
      </w:r>
    </w:p>
    <w:p w:rsidR="00EA16F6" w:rsidRDefault="00EA16F6" w:rsidP="00EA16F6">
      <w:pPr>
        <w:pStyle w:val="ListParagraph"/>
        <w:numPr>
          <w:ilvl w:val="0"/>
          <w:numId w:val="12"/>
        </w:numPr>
        <w:autoSpaceDE w:val="0"/>
        <w:autoSpaceDN w:val="0"/>
        <w:adjustRightInd w:val="0"/>
        <w:spacing w:after="0" w:line="240" w:lineRule="auto"/>
      </w:pPr>
      <w:r>
        <w:t>Toke Adit is currently a senior lecturer at the University of Cambridge, specializing in economics and public policy.</w:t>
      </w:r>
    </w:p>
    <w:p w:rsidR="004A4CD3" w:rsidRDefault="00EA16F6" w:rsidP="00EA16F6">
      <w:pPr>
        <w:pStyle w:val="ListParagraph"/>
        <w:numPr>
          <w:ilvl w:val="0"/>
          <w:numId w:val="12"/>
        </w:numPr>
        <w:autoSpaceDE w:val="0"/>
        <w:autoSpaceDN w:val="0"/>
        <w:adjustRightInd w:val="0"/>
        <w:spacing w:after="0" w:line="240" w:lineRule="auto"/>
      </w:pPr>
      <w:r>
        <w:t xml:space="preserve">The text argues that </w:t>
      </w:r>
      <w:r w:rsidR="004A4CD3">
        <w:t>competition between lobbying groups is essential to adequate understanding of political decisions and their negative environmental externalities. Without competing lobbying groups, market inefficiencies will proliferate.</w:t>
      </w:r>
      <w:r w:rsidR="007D27A9">
        <w:t xml:space="preserve"> Importantly, the study assumes the government is only interested in social welfare, weighing the environmental costs against economic gain for the public, and ignoring such factors as campaign contributions.</w:t>
      </w:r>
    </w:p>
    <w:p w:rsidR="004A4CD3" w:rsidRDefault="004A4CD3" w:rsidP="00EA16F6">
      <w:pPr>
        <w:pStyle w:val="ListParagraph"/>
        <w:numPr>
          <w:ilvl w:val="0"/>
          <w:numId w:val="12"/>
        </w:numPr>
        <w:autoSpaceDE w:val="0"/>
        <w:autoSpaceDN w:val="0"/>
        <w:adjustRightInd w:val="0"/>
        <w:spacing w:after="0" w:line="240" w:lineRule="auto"/>
      </w:pPr>
      <w:r>
        <w:t xml:space="preserve">The article creates a model to analyze the different </w:t>
      </w:r>
      <w:r w:rsidR="007D27A9">
        <w:t xml:space="preserve">environmental </w:t>
      </w:r>
      <w:r>
        <w:t xml:space="preserve">prices that lobby groups and their constituents will have to pay if a piece of legislation is passed, thus modeling their motivation to alter it. Equilibrium in cost sharing is assumed to be the optimal end result. </w:t>
      </w:r>
      <w:r w:rsidR="007D27A9">
        <w:t>The article also looks at the various economic interests of a lobby group, and how these compete with or enhance concern for the environment. Finally, the article looks at political models and finds that the optimal policy involves a pigouvian adjustment, a tax on environmental degradation. However, since lobby groups do not all value environmental concerns equally or at all, the politically optimal adjustment differs from a pigouvian ideal. Unorganized sectors, like the public at large, are at a disadvantage. They pay a higher cost in environmental degradation than the degraders pay in compensation.</w:t>
      </w:r>
    </w:p>
    <w:p w:rsidR="007D27A9" w:rsidRPr="007D27A9" w:rsidRDefault="007D27A9" w:rsidP="00EA16F6">
      <w:pPr>
        <w:pStyle w:val="ListParagraph"/>
        <w:numPr>
          <w:ilvl w:val="0"/>
          <w:numId w:val="12"/>
        </w:numPr>
        <w:autoSpaceDE w:val="0"/>
        <w:autoSpaceDN w:val="0"/>
        <w:adjustRightInd w:val="0"/>
        <w:spacing w:after="0" w:line="240" w:lineRule="auto"/>
      </w:pPr>
      <w:r>
        <w:t>“</w:t>
      </w:r>
      <w:r>
        <w:rPr>
          <w:rStyle w:val="apple-converted-space"/>
          <w:rFonts w:ascii="Arial Unicode MS" w:eastAsia="Arial Unicode MS" w:hAnsi="Arial Unicode MS" w:cs="Arial Unicode MS" w:hint="eastAsia"/>
          <w:color w:val="2E2E2E"/>
          <w:sz w:val="20"/>
          <w:szCs w:val="20"/>
          <w:shd w:val="clear" w:color="auto" w:fill="FFFFFF"/>
        </w:rPr>
        <w:t> </w:t>
      </w:r>
      <w:r>
        <w:rPr>
          <w:rFonts w:ascii="Arial Unicode MS" w:eastAsia="Arial Unicode MS" w:hAnsi="Arial Unicode MS" w:cs="Arial Unicode MS" w:hint="eastAsia"/>
          <w:color w:val="2E2E2E"/>
          <w:sz w:val="20"/>
          <w:szCs w:val="20"/>
          <w:shd w:val="clear" w:color="auto" w:fill="FFFFFF"/>
        </w:rPr>
        <w:t>organized sectors get a discount at the expense of unorganized sectors, which are taxed at inefficiently high rates</w:t>
      </w:r>
      <w:r>
        <w:rPr>
          <w:rFonts w:ascii="Arial Unicode MS" w:eastAsia="Arial Unicode MS" w:hAnsi="Arial Unicode MS" w:cs="Arial Unicode MS"/>
          <w:color w:val="2E2E2E"/>
          <w:sz w:val="20"/>
          <w:szCs w:val="20"/>
          <w:shd w:val="clear" w:color="auto" w:fill="FFFFFF"/>
        </w:rPr>
        <w:t>”</w:t>
      </w:r>
    </w:p>
    <w:p w:rsidR="007D27A9" w:rsidRDefault="007D27A9" w:rsidP="007D27A9">
      <w:pPr>
        <w:pStyle w:val="ListParagraph"/>
        <w:autoSpaceDE w:val="0"/>
        <w:autoSpaceDN w:val="0"/>
        <w:adjustRightInd w:val="0"/>
        <w:spacing w:after="0" w:line="240" w:lineRule="auto"/>
        <w:rPr>
          <w:rFonts w:ascii="Arial Unicode MS" w:eastAsia="Arial Unicode MS" w:hAnsi="Arial Unicode MS" w:cs="Arial Unicode MS"/>
          <w:color w:val="2E2E2E"/>
          <w:sz w:val="20"/>
          <w:szCs w:val="20"/>
          <w:shd w:val="clear" w:color="auto" w:fill="FFFFFF"/>
        </w:rPr>
      </w:pPr>
      <w:r>
        <w:t>“</w:t>
      </w:r>
      <w:r>
        <w:rPr>
          <w:rStyle w:val="apple-converted-space"/>
          <w:rFonts w:ascii="Arial Unicode MS" w:eastAsia="Arial Unicode MS" w:hAnsi="Arial Unicode MS" w:cs="Arial Unicode MS" w:hint="eastAsia"/>
          <w:color w:val="2E2E2E"/>
          <w:sz w:val="20"/>
          <w:szCs w:val="20"/>
          <w:shd w:val="clear" w:color="auto" w:fill="FFFFFF"/>
        </w:rPr>
        <w:t> </w:t>
      </w:r>
      <w:r>
        <w:rPr>
          <w:rFonts w:ascii="Arial Unicode MS" w:eastAsia="Arial Unicode MS" w:hAnsi="Arial Unicode MS" w:cs="Arial Unicode MS" w:hint="eastAsia"/>
          <w:color w:val="2E2E2E"/>
          <w:sz w:val="20"/>
          <w:szCs w:val="20"/>
          <w:shd w:val="clear" w:color="auto" w:fill="FFFFFF"/>
        </w:rPr>
        <w:t>economic agents (e.g. firms) are motivated to influence environmental policy because the choice of instrument has income distributional consequences. Another reason why lobby groups seek influence on environmental policy is that pollution reduces welfare directly</w:t>
      </w:r>
      <w:r>
        <w:rPr>
          <w:rFonts w:ascii="Arial Unicode MS" w:eastAsia="Arial Unicode MS" w:hAnsi="Arial Unicode MS" w:cs="Arial Unicode MS"/>
          <w:color w:val="2E2E2E"/>
          <w:sz w:val="20"/>
          <w:szCs w:val="20"/>
          <w:shd w:val="clear" w:color="auto" w:fill="FFFFFF"/>
        </w:rPr>
        <w:t>”</w:t>
      </w:r>
    </w:p>
    <w:p w:rsidR="007D27A9" w:rsidRDefault="007D27A9" w:rsidP="007D27A9">
      <w:pPr>
        <w:pStyle w:val="ListParagraph"/>
        <w:autoSpaceDE w:val="0"/>
        <w:autoSpaceDN w:val="0"/>
        <w:adjustRightInd w:val="0"/>
        <w:spacing w:after="0" w:line="240" w:lineRule="auto"/>
        <w:rPr>
          <w:rFonts w:ascii="Arial Unicode MS" w:eastAsia="Arial Unicode MS" w:hAnsi="Arial Unicode MS" w:cs="Arial Unicode MS"/>
          <w:color w:val="2E2E2E"/>
          <w:sz w:val="20"/>
          <w:szCs w:val="20"/>
          <w:shd w:val="clear" w:color="auto" w:fill="FFFFFF"/>
        </w:rPr>
      </w:pPr>
      <w:r>
        <w:rPr>
          <w:rFonts w:ascii="Arial Unicode MS" w:eastAsia="Arial Unicode MS" w:hAnsi="Arial Unicode MS" w:cs="Arial Unicode MS"/>
          <w:color w:val="2E2E2E"/>
          <w:sz w:val="20"/>
          <w:szCs w:val="20"/>
          <w:shd w:val="clear" w:color="auto" w:fill="FFFFFF"/>
        </w:rPr>
        <w:t>“</w:t>
      </w:r>
      <w:r>
        <w:rPr>
          <w:rFonts w:ascii="Arial Unicode MS" w:eastAsia="Arial Unicode MS" w:hAnsi="Arial Unicode MS" w:cs="Arial Unicode MS" w:hint="eastAsia"/>
          <w:color w:val="2E2E2E"/>
          <w:sz w:val="20"/>
          <w:szCs w:val="20"/>
          <w:shd w:val="clear" w:color="auto" w:fill="FFFFFF"/>
        </w:rPr>
        <w:t>since lobby groups care about the distribution of income as well as about efficiency, the equilibrium structure of taxes differs considerably from the Pigouvian rule.</w:t>
      </w:r>
      <w:r>
        <w:rPr>
          <w:rFonts w:ascii="Arial Unicode MS" w:eastAsia="Arial Unicode MS" w:hAnsi="Arial Unicode MS" w:cs="Arial Unicode MS"/>
          <w:color w:val="2E2E2E"/>
          <w:sz w:val="20"/>
          <w:szCs w:val="20"/>
          <w:shd w:val="clear" w:color="auto" w:fill="FFFFFF"/>
        </w:rPr>
        <w:t>”</w:t>
      </w:r>
    </w:p>
    <w:p w:rsidR="007D27A9" w:rsidRPr="007D27A9" w:rsidRDefault="007D27A9" w:rsidP="007D27A9">
      <w:pPr>
        <w:pStyle w:val="ListParagraph"/>
        <w:numPr>
          <w:ilvl w:val="0"/>
          <w:numId w:val="12"/>
        </w:numPr>
        <w:rPr>
          <w:shd w:val="clear" w:color="auto" w:fill="FFFFFF"/>
        </w:rPr>
      </w:pPr>
      <w:r w:rsidRPr="007D27A9">
        <w:rPr>
          <w:shd w:val="clear" w:color="auto" w:fill="FFFFFF"/>
        </w:rPr>
        <w:t xml:space="preserve">The article </w:t>
      </w:r>
      <w:r>
        <w:rPr>
          <w:shd w:val="clear" w:color="auto" w:fill="FFFFFF"/>
        </w:rPr>
        <w:t xml:space="preserve">shows how a robust and active lobbying system is crucial to equitable use of environmental resources. If the public’s interest is not fully represented, </w:t>
      </w:r>
      <w:r w:rsidR="001A48A8">
        <w:rPr>
          <w:shd w:val="clear" w:color="auto" w:fill="FFFFFF"/>
        </w:rPr>
        <w:t>the political outcome is not fair.</w:t>
      </w:r>
      <w:bookmarkStart w:id="0" w:name="_GoBack"/>
      <w:bookmarkEnd w:id="0"/>
    </w:p>
    <w:sectPr w:rsidR="007D27A9" w:rsidRPr="007D27A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inherit">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F0C37"/>
    <w:multiLevelType w:val="hybridMultilevel"/>
    <w:tmpl w:val="E1FE89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0C78CE"/>
    <w:multiLevelType w:val="hybridMultilevel"/>
    <w:tmpl w:val="AAC861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B552C9"/>
    <w:multiLevelType w:val="hybridMultilevel"/>
    <w:tmpl w:val="AAC861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3269E4"/>
    <w:multiLevelType w:val="hybridMultilevel"/>
    <w:tmpl w:val="E2EE5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D2E0C3C"/>
    <w:multiLevelType w:val="hybridMultilevel"/>
    <w:tmpl w:val="1744CA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B5285E"/>
    <w:multiLevelType w:val="hybridMultilevel"/>
    <w:tmpl w:val="AAC861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33B1ABF"/>
    <w:multiLevelType w:val="hybridMultilevel"/>
    <w:tmpl w:val="0A7CA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40C65A2"/>
    <w:multiLevelType w:val="hybridMultilevel"/>
    <w:tmpl w:val="AAC861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9B467EB"/>
    <w:multiLevelType w:val="hybridMultilevel"/>
    <w:tmpl w:val="F3E8C3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63353C4"/>
    <w:multiLevelType w:val="hybridMultilevel"/>
    <w:tmpl w:val="AAC861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96561C3"/>
    <w:multiLevelType w:val="hybridMultilevel"/>
    <w:tmpl w:val="AAC861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DA27C68"/>
    <w:multiLevelType w:val="hybridMultilevel"/>
    <w:tmpl w:val="AAC861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8"/>
  </w:num>
  <w:num w:numId="3">
    <w:abstractNumId w:val="9"/>
  </w:num>
  <w:num w:numId="4">
    <w:abstractNumId w:val="5"/>
  </w:num>
  <w:num w:numId="5">
    <w:abstractNumId w:val="0"/>
  </w:num>
  <w:num w:numId="6">
    <w:abstractNumId w:val="1"/>
  </w:num>
  <w:num w:numId="7">
    <w:abstractNumId w:val="3"/>
  </w:num>
  <w:num w:numId="8">
    <w:abstractNumId w:val="2"/>
  </w:num>
  <w:num w:numId="9">
    <w:abstractNumId w:val="11"/>
  </w:num>
  <w:num w:numId="10">
    <w:abstractNumId w:val="10"/>
  </w:num>
  <w:num w:numId="11">
    <w:abstractNumId w:val="4"/>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DAB"/>
    <w:rsid w:val="000248F9"/>
    <w:rsid w:val="00035DCF"/>
    <w:rsid w:val="00072B42"/>
    <w:rsid w:val="001046D5"/>
    <w:rsid w:val="001524B2"/>
    <w:rsid w:val="0016660E"/>
    <w:rsid w:val="00196DF2"/>
    <w:rsid w:val="001A48A8"/>
    <w:rsid w:val="00296B34"/>
    <w:rsid w:val="00412156"/>
    <w:rsid w:val="00415A04"/>
    <w:rsid w:val="00471F80"/>
    <w:rsid w:val="004902AA"/>
    <w:rsid w:val="004A4CD3"/>
    <w:rsid w:val="004E31CA"/>
    <w:rsid w:val="00596E40"/>
    <w:rsid w:val="005B3C23"/>
    <w:rsid w:val="006665A4"/>
    <w:rsid w:val="00726566"/>
    <w:rsid w:val="00795228"/>
    <w:rsid w:val="007D27A9"/>
    <w:rsid w:val="0093206E"/>
    <w:rsid w:val="00BD6DAB"/>
    <w:rsid w:val="00BF06E1"/>
    <w:rsid w:val="00C34795"/>
    <w:rsid w:val="00CA7700"/>
    <w:rsid w:val="00DF10E5"/>
    <w:rsid w:val="00E454DB"/>
    <w:rsid w:val="00EA16F6"/>
    <w:rsid w:val="00F86686"/>
    <w:rsid w:val="00FE19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CA770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7700"/>
    <w:pPr>
      <w:ind w:left="720"/>
      <w:contextualSpacing/>
    </w:pPr>
  </w:style>
  <w:style w:type="paragraph" w:styleId="HTMLPreformatted">
    <w:name w:val="HTML Preformatted"/>
    <w:basedOn w:val="Normal"/>
    <w:link w:val="HTMLPreformattedChar"/>
    <w:uiPriority w:val="99"/>
    <w:semiHidden/>
    <w:unhideWhenUsed/>
    <w:rsid w:val="00CA77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A7700"/>
    <w:rPr>
      <w:rFonts w:ascii="Courier New" w:eastAsia="Times New Roman" w:hAnsi="Courier New" w:cs="Courier New"/>
      <w:sz w:val="20"/>
      <w:szCs w:val="20"/>
    </w:rPr>
  </w:style>
  <w:style w:type="character" w:customStyle="1" w:styleId="Heading1Char">
    <w:name w:val="Heading 1 Char"/>
    <w:basedOn w:val="DefaultParagraphFont"/>
    <w:link w:val="Heading1"/>
    <w:uiPriority w:val="9"/>
    <w:rsid w:val="00CA7700"/>
    <w:rPr>
      <w:rFonts w:ascii="Times New Roman" w:eastAsia="Times New Roman" w:hAnsi="Times New Roman" w:cs="Times New Roman"/>
      <w:b/>
      <w:bCs/>
      <w:kern w:val="36"/>
      <w:sz w:val="48"/>
      <w:szCs w:val="48"/>
    </w:rPr>
  </w:style>
  <w:style w:type="character" w:customStyle="1" w:styleId="apple-converted-space">
    <w:name w:val="apple-converted-space"/>
    <w:basedOn w:val="DefaultParagraphFont"/>
    <w:rsid w:val="00CA7700"/>
  </w:style>
  <w:style w:type="character" w:styleId="Hyperlink">
    <w:name w:val="Hyperlink"/>
    <w:basedOn w:val="DefaultParagraphFont"/>
    <w:uiPriority w:val="99"/>
    <w:semiHidden/>
    <w:unhideWhenUsed/>
    <w:rsid w:val="00FE191B"/>
    <w:rPr>
      <w:color w:val="0000FF"/>
      <w:u w:val="single"/>
    </w:rPr>
  </w:style>
  <w:style w:type="character" w:customStyle="1" w:styleId="cit-auth">
    <w:name w:val="cit-auth"/>
    <w:basedOn w:val="DefaultParagraphFont"/>
    <w:rsid w:val="0016660E"/>
  </w:style>
  <w:style w:type="character" w:customStyle="1" w:styleId="cit-sep">
    <w:name w:val="cit-sep"/>
    <w:basedOn w:val="DefaultParagraphFont"/>
    <w:rsid w:val="0016660E"/>
  </w:style>
  <w:style w:type="character" w:customStyle="1" w:styleId="cit-print-date">
    <w:name w:val="cit-print-date"/>
    <w:basedOn w:val="DefaultParagraphFont"/>
    <w:rsid w:val="0016660E"/>
  </w:style>
  <w:style w:type="character" w:customStyle="1" w:styleId="cit-vol">
    <w:name w:val="cit-vol"/>
    <w:basedOn w:val="DefaultParagraphFont"/>
    <w:rsid w:val="0016660E"/>
  </w:style>
  <w:style w:type="character" w:customStyle="1" w:styleId="cit-issue">
    <w:name w:val="cit-issue"/>
    <w:basedOn w:val="DefaultParagraphFont"/>
    <w:rsid w:val="0016660E"/>
  </w:style>
  <w:style w:type="character" w:customStyle="1" w:styleId="cit-first-page">
    <w:name w:val="cit-first-page"/>
    <w:basedOn w:val="DefaultParagraphFont"/>
    <w:rsid w:val="0016660E"/>
  </w:style>
  <w:style w:type="character" w:customStyle="1" w:styleId="cit-last-page">
    <w:name w:val="cit-last-page"/>
    <w:basedOn w:val="DefaultParagraphFont"/>
    <w:rsid w:val="0016660E"/>
  </w:style>
  <w:style w:type="character" w:customStyle="1" w:styleId="cit-ahead-of-print-date">
    <w:name w:val="cit-ahead-of-print-date"/>
    <w:basedOn w:val="DefaultParagraphFont"/>
    <w:rsid w:val="0016660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CA770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7700"/>
    <w:pPr>
      <w:ind w:left="720"/>
      <w:contextualSpacing/>
    </w:pPr>
  </w:style>
  <w:style w:type="paragraph" w:styleId="HTMLPreformatted">
    <w:name w:val="HTML Preformatted"/>
    <w:basedOn w:val="Normal"/>
    <w:link w:val="HTMLPreformattedChar"/>
    <w:uiPriority w:val="99"/>
    <w:semiHidden/>
    <w:unhideWhenUsed/>
    <w:rsid w:val="00CA77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A7700"/>
    <w:rPr>
      <w:rFonts w:ascii="Courier New" w:eastAsia="Times New Roman" w:hAnsi="Courier New" w:cs="Courier New"/>
      <w:sz w:val="20"/>
      <w:szCs w:val="20"/>
    </w:rPr>
  </w:style>
  <w:style w:type="character" w:customStyle="1" w:styleId="Heading1Char">
    <w:name w:val="Heading 1 Char"/>
    <w:basedOn w:val="DefaultParagraphFont"/>
    <w:link w:val="Heading1"/>
    <w:uiPriority w:val="9"/>
    <w:rsid w:val="00CA7700"/>
    <w:rPr>
      <w:rFonts w:ascii="Times New Roman" w:eastAsia="Times New Roman" w:hAnsi="Times New Roman" w:cs="Times New Roman"/>
      <w:b/>
      <w:bCs/>
      <w:kern w:val="36"/>
      <w:sz w:val="48"/>
      <w:szCs w:val="48"/>
    </w:rPr>
  </w:style>
  <w:style w:type="character" w:customStyle="1" w:styleId="apple-converted-space">
    <w:name w:val="apple-converted-space"/>
    <w:basedOn w:val="DefaultParagraphFont"/>
    <w:rsid w:val="00CA7700"/>
  </w:style>
  <w:style w:type="character" w:styleId="Hyperlink">
    <w:name w:val="Hyperlink"/>
    <w:basedOn w:val="DefaultParagraphFont"/>
    <w:uiPriority w:val="99"/>
    <w:semiHidden/>
    <w:unhideWhenUsed/>
    <w:rsid w:val="00FE191B"/>
    <w:rPr>
      <w:color w:val="0000FF"/>
      <w:u w:val="single"/>
    </w:rPr>
  </w:style>
  <w:style w:type="character" w:customStyle="1" w:styleId="cit-auth">
    <w:name w:val="cit-auth"/>
    <w:basedOn w:val="DefaultParagraphFont"/>
    <w:rsid w:val="0016660E"/>
  </w:style>
  <w:style w:type="character" w:customStyle="1" w:styleId="cit-sep">
    <w:name w:val="cit-sep"/>
    <w:basedOn w:val="DefaultParagraphFont"/>
    <w:rsid w:val="0016660E"/>
  </w:style>
  <w:style w:type="character" w:customStyle="1" w:styleId="cit-print-date">
    <w:name w:val="cit-print-date"/>
    <w:basedOn w:val="DefaultParagraphFont"/>
    <w:rsid w:val="0016660E"/>
  </w:style>
  <w:style w:type="character" w:customStyle="1" w:styleId="cit-vol">
    <w:name w:val="cit-vol"/>
    <w:basedOn w:val="DefaultParagraphFont"/>
    <w:rsid w:val="0016660E"/>
  </w:style>
  <w:style w:type="character" w:customStyle="1" w:styleId="cit-issue">
    <w:name w:val="cit-issue"/>
    <w:basedOn w:val="DefaultParagraphFont"/>
    <w:rsid w:val="0016660E"/>
  </w:style>
  <w:style w:type="character" w:customStyle="1" w:styleId="cit-first-page">
    <w:name w:val="cit-first-page"/>
    <w:basedOn w:val="DefaultParagraphFont"/>
    <w:rsid w:val="0016660E"/>
  </w:style>
  <w:style w:type="character" w:customStyle="1" w:styleId="cit-last-page">
    <w:name w:val="cit-last-page"/>
    <w:basedOn w:val="DefaultParagraphFont"/>
    <w:rsid w:val="0016660E"/>
  </w:style>
  <w:style w:type="character" w:customStyle="1" w:styleId="cit-ahead-of-print-date">
    <w:name w:val="cit-ahead-of-print-date"/>
    <w:basedOn w:val="DefaultParagraphFont"/>
    <w:rsid w:val="001666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355589">
      <w:bodyDiv w:val="1"/>
      <w:marLeft w:val="0"/>
      <w:marRight w:val="0"/>
      <w:marTop w:val="0"/>
      <w:marBottom w:val="0"/>
      <w:divBdr>
        <w:top w:val="none" w:sz="0" w:space="0" w:color="auto"/>
        <w:left w:val="none" w:sz="0" w:space="0" w:color="auto"/>
        <w:bottom w:val="none" w:sz="0" w:space="0" w:color="auto"/>
        <w:right w:val="none" w:sz="0" w:space="0" w:color="auto"/>
      </w:divBdr>
    </w:div>
    <w:div w:id="1017775764">
      <w:bodyDiv w:val="1"/>
      <w:marLeft w:val="0"/>
      <w:marRight w:val="0"/>
      <w:marTop w:val="0"/>
      <w:marBottom w:val="0"/>
      <w:divBdr>
        <w:top w:val="none" w:sz="0" w:space="0" w:color="auto"/>
        <w:left w:val="none" w:sz="0" w:space="0" w:color="auto"/>
        <w:bottom w:val="none" w:sz="0" w:space="0" w:color="auto"/>
        <w:right w:val="none" w:sz="0" w:space="0" w:color="auto"/>
      </w:divBdr>
    </w:div>
    <w:div w:id="1159807621">
      <w:bodyDiv w:val="1"/>
      <w:marLeft w:val="0"/>
      <w:marRight w:val="0"/>
      <w:marTop w:val="0"/>
      <w:marBottom w:val="0"/>
      <w:divBdr>
        <w:top w:val="none" w:sz="0" w:space="0" w:color="auto"/>
        <w:left w:val="none" w:sz="0" w:space="0" w:color="auto"/>
        <w:bottom w:val="none" w:sz="0" w:space="0" w:color="auto"/>
        <w:right w:val="none" w:sz="0" w:space="0" w:color="auto"/>
      </w:divBdr>
    </w:div>
    <w:div w:id="1312637158">
      <w:bodyDiv w:val="1"/>
      <w:marLeft w:val="0"/>
      <w:marRight w:val="0"/>
      <w:marTop w:val="0"/>
      <w:marBottom w:val="0"/>
      <w:divBdr>
        <w:top w:val="none" w:sz="0" w:space="0" w:color="auto"/>
        <w:left w:val="none" w:sz="0" w:space="0" w:color="auto"/>
        <w:bottom w:val="none" w:sz="0" w:space="0" w:color="auto"/>
        <w:right w:val="none" w:sz="0" w:space="0" w:color="auto"/>
      </w:divBdr>
    </w:div>
    <w:div w:id="190094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ciencedirect.com.libproxy.rpi.edu/science/article/pii/S0006320711004472" TargetMode="External"/><Relationship Id="rId3" Type="http://schemas.microsoft.com/office/2007/relationships/stylesWithEffects" Target="stylesWithEffects.xml"/><Relationship Id="rId7" Type="http://schemas.openxmlformats.org/officeDocument/2006/relationships/hyperlink" Target="http://www.sciencedirect.com.libproxy.rpi.edu/science/article/pii/S0006320711004472"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ciencedirect.com.libproxy.rpi.edu/science/article/pii/S0006320711004472"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sciencedirect.com.libproxy.rpi.edu/science/article/pii/S0006320711004472" TargetMode="External"/><Relationship Id="rId4" Type="http://schemas.openxmlformats.org/officeDocument/2006/relationships/settings" Target="settings.xml"/><Relationship Id="rId9" Type="http://schemas.openxmlformats.org/officeDocument/2006/relationships/hyperlink" Target="http://www.sciencedirect.com.libproxy.rpi.edu/science/article/pii/S000632071100447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242</TotalTime>
  <Pages>5</Pages>
  <Words>1928</Words>
  <Characters>10994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student</dc:creator>
  <cp:keywords/>
  <dc:description/>
  <cp:lastModifiedBy>student</cp:lastModifiedBy>
  <cp:revision>7</cp:revision>
  <dcterms:created xsi:type="dcterms:W3CDTF">2012-12-09T18:26:00Z</dcterms:created>
  <dcterms:modified xsi:type="dcterms:W3CDTF">2012-12-09T22:34:00Z</dcterms:modified>
</cp:coreProperties>
</file>